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7FF" w:rsidRDefault="004437FF" w:rsidP="00F87BF6">
      <w:pPr>
        <w:widowControl/>
        <w:jc w:val="left"/>
        <w:rPr>
          <w:rFonts w:ascii="宋体" w:cs="宋体"/>
          <w:b/>
          <w:kern w:val="0"/>
          <w:sz w:val="28"/>
          <w:szCs w:val="28"/>
        </w:rPr>
      </w:pPr>
      <w:r>
        <w:rPr>
          <w:rFonts w:ascii="宋体" w:hAnsi="宋体" w:cs="宋体" w:hint="eastAsia"/>
          <w:b/>
          <w:kern w:val="0"/>
          <w:sz w:val="24"/>
        </w:rPr>
        <w:t>附件</w:t>
      </w:r>
      <w:r>
        <w:rPr>
          <w:rFonts w:ascii="宋体" w:hAnsi="宋体" w:cs="宋体" w:hint="eastAsia"/>
          <w:b/>
          <w:kern w:val="0"/>
          <w:sz w:val="24"/>
        </w:rPr>
        <w:t>2</w:t>
      </w:r>
    </w:p>
    <w:p w:rsidR="004437FF" w:rsidRDefault="004437FF" w:rsidP="00F87BF6">
      <w:pPr>
        <w:spacing w:line="300" w:lineRule="auto"/>
        <w:jc w:val="center"/>
        <w:rPr>
          <w:rFonts w:ascii="仿宋_GB2312" w:eastAsia="仿宋_GB2312" w:hAnsi="宋体"/>
          <w:sz w:val="28"/>
          <w:szCs w:val="28"/>
        </w:rPr>
      </w:pPr>
      <w:r>
        <w:rPr>
          <w:rFonts w:ascii="仿宋_GB2312" w:eastAsia="仿宋_GB2312" w:hAnsi="宋体" w:hint="eastAsia"/>
          <w:b/>
          <w:sz w:val="28"/>
          <w:szCs w:val="28"/>
        </w:rPr>
        <w:t>辅修专业课程基本情况表</w:t>
      </w: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709"/>
        <w:gridCol w:w="850"/>
        <w:gridCol w:w="992"/>
        <w:gridCol w:w="709"/>
        <w:gridCol w:w="567"/>
        <w:gridCol w:w="709"/>
        <w:gridCol w:w="7229"/>
      </w:tblGrid>
      <w:tr w:rsidR="002614CC" w:rsidRPr="001066BC" w:rsidTr="006E1319">
        <w:trPr>
          <w:trHeight w:val="312"/>
          <w:tblHeader/>
        </w:trPr>
        <w:tc>
          <w:tcPr>
            <w:tcW w:w="567" w:type="dxa"/>
            <w:vMerge w:val="restart"/>
            <w:shd w:val="clear" w:color="auto" w:fill="auto"/>
            <w:noWrap/>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序号</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辅修专业名称</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开课对象</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计划人数</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计划班级数</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开设课程名称</w:t>
            </w:r>
          </w:p>
        </w:tc>
        <w:tc>
          <w:tcPr>
            <w:tcW w:w="709" w:type="dxa"/>
            <w:vMerge w:val="restart"/>
            <w:shd w:val="clear" w:color="auto" w:fill="auto"/>
            <w:noWrap/>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学分</w:t>
            </w:r>
          </w:p>
        </w:tc>
        <w:tc>
          <w:tcPr>
            <w:tcW w:w="567" w:type="dxa"/>
            <w:vMerge w:val="restart"/>
            <w:shd w:val="clear" w:color="auto" w:fill="auto"/>
            <w:noWrap/>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学时</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开课学期</w:t>
            </w:r>
          </w:p>
        </w:tc>
        <w:tc>
          <w:tcPr>
            <w:tcW w:w="7229" w:type="dxa"/>
            <w:vMerge w:val="restart"/>
            <w:shd w:val="clear" w:color="auto" w:fill="auto"/>
            <w:vAlign w:val="center"/>
            <w:hideMark/>
          </w:tcPr>
          <w:p w:rsidR="002614CC" w:rsidRPr="002614CC" w:rsidRDefault="002614CC" w:rsidP="002614CC">
            <w:pPr>
              <w:widowControl/>
              <w:jc w:val="cente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辅修专业基本情况</w:t>
            </w:r>
          </w:p>
        </w:tc>
      </w:tr>
      <w:tr w:rsidR="002614CC" w:rsidRPr="001066BC" w:rsidTr="006E1319">
        <w:trPr>
          <w:trHeight w:val="312"/>
        </w:trPr>
        <w:tc>
          <w:tcPr>
            <w:tcW w:w="567"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567"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c>
          <w:tcPr>
            <w:tcW w:w="7229" w:type="dxa"/>
            <w:vMerge/>
            <w:vAlign w:val="center"/>
            <w:hideMark/>
          </w:tcPr>
          <w:p w:rsidR="002614CC" w:rsidRPr="002614CC" w:rsidRDefault="002614CC" w:rsidP="002614CC">
            <w:pPr>
              <w:widowControl/>
              <w:jc w:val="left"/>
              <w:rPr>
                <w:rFonts w:ascii="宋体" w:eastAsia="宋体" w:hAnsi="宋体" w:cs="宋体"/>
                <w:b/>
                <w:bCs/>
                <w:color w:val="000000"/>
                <w:kern w:val="0"/>
                <w:szCs w:val="21"/>
              </w:rPr>
            </w:pPr>
          </w:p>
        </w:tc>
      </w:tr>
      <w:tr w:rsidR="002614CC" w:rsidRPr="001066BC" w:rsidTr="006E1319">
        <w:trPr>
          <w:trHeight w:val="3185"/>
        </w:trPr>
        <w:tc>
          <w:tcPr>
            <w:tcW w:w="567" w:type="dxa"/>
            <w:vMerge w:val="restart"/>
            <w:shd w:val="clear" w:color="auto" w:fill="auto"/>
            <w:noWrap/>
            <w:vAlign w:val="center"/>
            <w:hideMark/>
          </w:tcPr>
          <w:p w:rsidR="002614CC" w:rsidRPr="002614CC" w:rsidRDefault="00621049" w:rsidP="002614CC">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市场营销</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全校202</w:t>
            </w:r>
            <w:r w:rsidR="00B75DBD">
              <w:rPr>
                <w:rFonts w:ascii="宋体" w:eastAsia="宋体" w:hAnsi="宋体" w:cs="宋体"/>
                <w:color w:val="000000"/>
                <w:kern w:val="0"/>
                <w:szCs w:val="21"/>
              </w:rPr>
              <w:t>2</w:t>
            </w:r>
            <w:r w:rsidRPr="002614CC">
              <w:rPr>
                <w:rFonts w:ascii="宋体" w:eastAsia="宋体" w:hAnsi="宋体" w:cs="宋体" w:hint="eastAsia"/>
                <w:color w:val="000000"/>
                <w:kern w:val="0"/>
                <w:szCs w:val="21"/>
              </w:rPr>
              <w:t>级非市场营销专业学生</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45</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市场调查与预测</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val="restart"/>
            <w:shd w:val="clear" w:color="auto" w:fill="auto"/>
            <w:noWrap/>
            <w:vAlign w:val="center"/>
            <w:hideMark/>
          </w:tcPr>
          <w:p w:rsidR="002614CC" w:rsidRPr="001066BC" w:rsidRDefault="002614CC" w:rsidP="002614CC">
            <w:pPr>
              <w:widowControl/>
              <w:jc w:val="left"/>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一、辅修专业基本介绍</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市场营销专业面向商业流通企业、生产制造企业及其销售网点，培养具有市场营销专业知识，掌握从事企业市场营销活动及市场管理的技能，适应市场调研与分析、产品销售、商务谈判、销售队伍管理等工作的技能型人才。</w:t>
            </w:r>
          </w:p>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二、辅修专业主要课程及拓展的职业岗位能力</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1．《市场调查与预测》课程：（1）能根据企业要求，设计调查表并实施调查，调查结果形成调查报告；（2）能撰写调查建议书，对调查数据进行整理，用预测模型预测。</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2.《市场营销》课程：（1）掌握营销活动的基本流程；（2）能开展具体的营销工作。</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3.《推销与谈判》课程：能与顾客进行有效沟通与谈判，实现产品销售。</w:t>
            </w:r>
          </w:p>
          <w:p w:rsidR="002614CC" w:rsidRPr="002614CC" w:rsidRDefault="002614CC" w:rsidP="00F80E6A">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4.《网络营销》课程：（1）能结合行业特征，进行网络营销活动策划；（2）能够树立线上活动推广理念，进行线上推广活动。</w:t>
            </w:r>
          </w:p>
        </w:tc>
      </w:tr>
      <w:tr w:rsidR="002614CC" w:rsidRPr="001066BC" w:rsidTr="006E1319">
        <w:trPr>
          <w:trHeight w:val="96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市场营销</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r>
      <w:tr w:rsidR="002614CC" w:rsidRPr="001066BC" w:rsidTr="006E1319">
        <w:trPr>
          <w:trHeight w:val="72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推销与谈判</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r>
      <w:tr w:rsidR="002614CC" w:rsidRPr="001066BC" w:rsidTr="006E1319">
        <w:trPr>
          <w:trHeight w:val="57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网络营销</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r>
      <w:tr w:rsidR="006300E6" w:rsidRPr="001066BC" w:rsidTr="006E1319">
        <w:trPr>
          <w:trHeight w:val="285"/>
        </w:trPr>
        <w:tc>
          <w:tcPr>
            <w:tcW w:w="2552" w:type="dxa"/>
            <w:gridSpan w:val="3"/>
            <w:shd w:val="clear" w:color="auto" w:fill="auto"/>
            <w:noWrap/>
            <w:vAlign w:val="center"/>
            <w:hideMark/>
          </w:tcPr>
          <w:p w:rsidR="006300E6" w:rsidRPr="002614CC" w:rsidRDefault="006300E6" w:rsidP="006300E6">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小计</w:t>
            </w:r>
          </w:p>
        </w:tc>
        <w:tc>
          <w:tcPr>
            <w:tcW w:w="709" w:type="dxa"/>
            <w:shd w:val="clear" w:color="auto" w:fill="auto"/>
            <w:vAlign w:val="center"/>
            <w:hideMark/>
          </w:tcPr>
          <w:p w:rsidR="006300E6" w:rsidRPr="002614CC" w:rsidRDefault="006300E6" w:rsidP="002614C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5</w:t>
            </w:r>
          </w:p>
        </w:tc>
        <w:tc>
          <w:tcPr>
            <w:tcW w:w="850" w:type="dxa"/>
            <w:shd w:val="clear" w:color="auto" w:fill="auto"/>
            <w:vAlign w:val="center"/>
            <w:hideMark/>
          </w:tcPr>
          <w:p w:rsidR="006300E6" w:rsidRPr="002614CC" w:rsidRDefault="006300E6" w:rsidP="002614C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2" w:type="dxa"/>
            <w:shd w:val="clear" w:color="auto" w:fill="auto"/>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总计</w:t>
            </w:r>
          </w:p>
        </w:tc>
        <w:tc>
          <w:tcPr>
            <w:tcW w:w="709" w:type="dxa"/>
            <w:shd w:val="clear" w:color="auto" w:fill="auto"/>
            <w:noWrap/>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16</w:t>
            </w:r>
          </w:p>
        </w:tc>
        <w:tc>
          <w:tcPr>
            <w:tcW w:w="567" w:type="dxa"/>
            <w:shd w:val="clear" w:color="auto" w:fill="auto"/>
            <w:noWrap/>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256</w:t>
            </w:r>
          </w:p>
        </w:tc>
        <w:tc>
          <w:tcPr>
            <w:tcW w:w="709" w:type="dxa"/>
            <w:shd w:val="clear" w:color="auto" w:fill="auto"/>
            <w:noWrap/>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c>
          <w:tcPr>
            <w:tcW w:w="7229" w:type="dxa"/>
            <w:shd w:val="clear" w:color="auto" w:fill="auto"/>
            <w:vAlign w:val="center"/>
            <w:hideMark/>
          </w:tcPr>
          <w:p w:rsidR="006300E6" w:rsidRPr="002614CC" w:rsidRDefault="006300E6"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r>
      <w:tr w:rsidR="002614CC" w:rsidRPr="001066BC" w:rsidTr="006E1319">
        <w:trPr>
          <w:trHeight w:val="3185"/>
        </w:trPr>
        <w:tc>
          <w:tcPr>
            <w:tcW w:w="567" w:type="dxa"/>
            <w:vMerge w:val="restart"/>
            <w:shd w:val="clear" w:color="auto" w:fill="auto"/>
            <w:noWrap/>
            <w:vAlign w:val="center"/>
            <w:hideMark/>
          </w:tcPr>
          <w:p w:rsidR="002614CC" w:rsidRPr="002614CC" w:rsidRDefault="00621049" w:rsidP="002614CC">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2</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跨境电子商务</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全校2022级非国贸、跨境专业学生</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45</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跨境电子商务操作实务</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val="restart"/>
            <w:shd w:val="clear" w:color="auto" w:fill="auto"/>
            <w:vAlign w:val="center"/>
            <w:hideMark/>
          </w:tcPr>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一、辅修专业基本介绍</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跨境电子商务专业培养具有较强跨境平台运营能力、跨境电商推广能力、跨境进出口业务处理能力、跨境数据分析能力、客户服务管理能力等技术技能，能够从事跨境电子商务平台运营、推广、数据分析和跨境业务客户管理等工作的高素质技术技能型人才。</w:t>
            </w:r>
          </w:p>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二、辅修专业主要课程及拓展的职业岗位能力</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1．《跨境电子商务操作实务》课程：熟悉亚马逊、速卖通、Shopee等主流跨境电商平台规则，能够熟练进行跨境电商店铺运营操作。</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2. 《国际贸易实务》课程：熟悉国际贸易的单据和业务流程，能够掌握进出口商品报价核算、起草进出口业务合同，培养学生与外贸相关的职业能力。</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3.《跨境电商数据化运营》课程：通过数据分析优化提高点击率和转化率的方法，店铺整体数据分析与营销的方法，围绕大数据挖掘客户需求，依据数据分析引流，完成数据优化，提高点击率与转化率，根据数据指标，针对跨境店铺和产品开展优化工作、营销活动，为店铺成长提供动力。</w:t>
            </w:r>
          </w:p>
          <w:p w:rsidR="002614CC" w:rsidRPr="002614CC" w:rsidRDefault="002614CC" w:rsidP="002614CC">
            <w:pPr>
              <w:rPr>
                <w:rFonts w:ascii="宋体" w:eastAsia="宋体" w:hAnsi="宋体" w:cs="宋体"/>
                <w:b/>
                <w:bCs/>
                <w:color w:val="000000"/>
                <w:kern w:val="0"/>
                <w:szCs w:val="21"/>
              </w:rPr>
            </w:pPr>
            <w:r w:rsidRPr="002614CC">
              <w:rPr>
                <w:rFonts w:ascii="宋体" w:eastAsia="宋体" w:hAnsi="宋体" w:cs="宋体" w:hint="eastAsia"/>
                <w:color w:val="000000"/>
                <w:kern w:val="0"/>
                <w:szCs w:val="21"/>
              </w:rPr>
              <w:t>4.《跨境电商英语》课程：熟练掌握跨境电商各个方面和各个环节的专业术语，帮助学生认识和掌握跨境电商平台操作规范、产品和店铺描述、营销推广、售前、售中、售后服务所需的专业术语和表达法、产品文案撰写、公共信息操作等。</w:t>
            </w:r>
          </w:p>
        </w:tc>
      </w:tr>
      <w:tr w:rsidR="002614CC" w:rsidRPr="001066BC" w:rsidTr="006E1319">
        <w:trPr>
          <w:trHeight w:val="96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国际贸易实务</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shd w:val="clear" w:color="auto" w:fill="auto"/>
            <w:vAlign w:val="center"/>
            <w:hideMark/>
          </w:tcPr>
          <w:p w:rsidR="002614CC" w:rsidRPr="002614CC" w:rsidRDefault="002614CC" w:rsidP="002614CC">
            <w:pPr>
              <w:rPr>
                <w:rFonts w:ascii="宋体" w:eastAsia="宋体" w:hAnsi="宋体" w:cs="宋体"/>
                <w:color w:val="000000"/>
                <w:kern w:val="0"/>
                <w:szCs w:val="21"/>
              </w:rPr>
            </w:pPr>
          </w:p>
        </w:tc>
      </w:tr>
      <w:tr w:rsidR="002614CC" w:rsidRPr="001066BC" w:rsidTr="006E1319">
        <w:trPr>
          <w:trHeight w:val="168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跨境电商数据化运营</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rPr>
                <w:rFonts w:ascii="宋体" w:eastAsia="宋体" w:hAnsi="宋体" w:cs="宋体"/>
                <w:color w:val="000000"/>
                <w:kern w:val="0"/>
                <w:szCs w:val="21"/>
              </w:rPr>
            </w:pPr>
          </w:p>
        </w:tc>
      </w:tr>
      <w:tr w:rsidR="002614CC" w:rsidRPr="001066BC" w:rsidTr="006E1319">
        <w:trPr>
          <w:trHeight w:val="144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跨境电商英语</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noWrap/>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widowControl/>
              <w:rPr>
                <w:rFonts w:ascii="宋体" w:eastAsia="宋体" w:hAnsi="宋体" w:cs="宋体"/>
                <w:color w:val="000000"/>
                <w:kern w:val="0"/>
                <w:szCs w:val="21"/>
              </w:rPr>
            </w:pPr>
          </w:p>
        </w:tc>
      </w:tr>
      <w:tr w:rsidR="006300E6" w:rsidRPr="001066BC" w:rsidTr="006E1319">
        <w:trPr>
          <w:trHeight w:val="285"/>
        </w:trPr>
        <w:tc>
          <w:tcPr>
            <w:tcW w:w="2552" w:type="dxa"/>
            <w:gridSpan w:val="3"/>
            <w:shd w:val="clear" w:color="auto" w:fill="auto"/>
            <w:noWrap/>
            <w:vAlign w:val="center"/>
            <w:hideMark/>
          </w:tcPr>
          <w:p w:rsidR="006300E6" w:rsidRPr="002614CC" w:rsidRDefault="006300E6" w:rsidP="006300E6">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小计</w:t>
            </w:r>
          </w:p>
        </w:tc>
        <w:tc>
          <w:tcPr>
            <w:tcW w:w="709" w:type="dxa"/>
            <w:shd w:val="clear" w:color="auto" w:fill="auto"/>
            <w:vAlign w:val="center"/>
            <w:hideMark/>
          </w:tcPr>
          <w:p w:rsidR="006300E6" w:rsidRPr="002614CC" w:rsidRDefault="006300E6" w:rsidP="002614C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5</w:t>
            </w:r>
          </w:p>
        </w:tc>
        <w:tc>
          <w:tcPr>
            <w:tcW w:w="850" w:type="dxa"/>
            <w:shd w:val="clear" w:color="auto" w:fill="auto"/>
            <w:vAlign w:val="center"/>
            <w:hideMark/>
          </w:tcPr>
          <w:p w:rsidR="006300E6" w:rsidRPr="002614CC" w:rsidRDefault="006300E6" w:rsidP="002614C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992" w:type="dxa"/>
            <w:shd w:val="clear" w:color="auto" w:fill="auto"/>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总计</w:t>
            </w:r>
          </w:p>
        </w:tc>
        <w:tc>
          <w:tcPr>
            <w:tcW w:w="709" w:type="dxa"/>
            <w:shd w:val="clear" w:color="auto" w:fill="auto"/>
            <w:noWrap/>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16</w:t>
            </w:r>
          </w:p>
        </w:tc>
        <w:tc>
          <w:tcPr>
            <w:tcW w:w="567" w:type="dxa"/>
            <w:shd w:val="clear" w:color="auto" w:fill="auto"/>
            <w:noWrap/>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256</w:t>
            </w:r>
          </w:p>
        </w:tc>
        <w:tc>
          <w:tcPr>
            <w:tcW w:w="709" w:type="dxa"/>
            <w:shd w:val="clear" w:color="auto" w:fill="auto"/>
            <w:noWrap/>
            <w:vAlign w:val="center"/>
            <w:hideMark/>
          </w:tcPr>
          <w:p w:rsidR="006300E6" w:rsidRPr="002614CC" w:rsidRDefault="006300E6"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c>
          <w:tcPr>
            <w:tcW w:w="7229" w:type="dxa"/>
            <w:shd w:val="clear" w:color="auto" w:fill="auto"/>
            <w:vAlign w:val="center"/>
            <w:hideMark/>
          </w:tcPr>
          <w:p w:rsidR="006300E6" w:rsidRPr="002614CC" w:rsidRDefault="006300E6"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r>
      <w:tr w:rsidR="002614CC" w:rsidRPr="001066BC" w:rsidTr="006E1319">
        <w:trPr>
          <w:trHeight w:val="5159"/>
        </w:trPr>
        <w:tc>
          <w:tcPr>
            <w:tcW w:w="567" w:type="dxa"/>
            <w:vMerge w:val="restart"/>
            <w:shd w:val="clear" w:color="auto" w:fill="auto"/>
            <w:vAlign w:val="center"/>
            <w:hideMark/>
          </w:tcPr>
          <w:p w:rsidR="002614CC" w:rsidRPr="002614CC" w:rsidRDefault="00870DDA" w:rsidP="002614CC">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3</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信息安全技术应用</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全</w:t>
            </w:r>
            <w:r w:rsidR="00DE2C0B">
              <w:rPr>
                <w:rFonts w:ascii="宋体" w:eastAsia="宋体" w:hAnsi="宋体" w:cs="宋体" w:hint="eastAsia"/>
                <w:color w:val="000000"/>
                <w:kern w:val="0"/>
                <w:szCs w:val="21"/>
              </w:rPr>
              <w:t>校</w:t>
            </w:r>
            <w:r w:rsidRPr="002614CC">
              <w:rPr>
                <w:rFonts w:ascii="宋体" w:eastAsia="宋体" w:hAnsi="宋体" w:cs="宋体" w:hint="eastAsia"/>
                <w:color w:val="000000"/>
                <w:kern w:val="0"/>
                <w:szCs w:val="21"/>
              </w:rPr>
              <w:t>2022级非信息安全技术应用专业学生</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150</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信息安全技术基础</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2</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36</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val="restart"/>
            <w:shd w:val="clear" w:color="auto" w:fill="auto"/>
            <w:vAlign w:val="center"/>
            <w:hideMark/>
          </w:tcPr>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一、辅修专业基本介绍</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信息安全技术应用专业培养具有网站渗透与防护能力相结合的技术应用型人才，主要包括信息安全技术基础、数据库应用与安全管理、Web渗透与防护等。</w:t>
            </w:r>
          </w:p>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二、辅修专业主要课程及拓展的职业岗位能力</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1.</w:t>
            </w:r>
            <w:r w:rsidRPr="002614CC">
              <w:rPr>
                <w:rFonts w:ascii="宋体" w:eastAsia="宋体" w:hAnsi="宋体" w:cs="宋体" w:hint="eastAsia"/>
                <w:b/>
                <w:bCs/>
                <w:color w:val="000000"/>
                <w:kern w:val="0"/>
                <w:szCs w:val="21"/>
              </w:rPr>
              <w:t>《信息安全技术基础》</w:t>
            </w:r>
            <w:r w:rsidRPr="002614CC">
              <w:rPr>
                <w:rFonts w:ascii="宋体" w:eastAsia="宋体" w:hAnsi="宋体" w:cs="宋体" w:hint="eastAsia"/>
                <w:color w:val="000000"/>
                <w:kern w:val="0"/>
                <w:szCs w:val="21"/>
              </w:rPr>
              <w:t>课程：（1）能使用基础的网络攻击技术；（2）能够使用常见的身份认证技术手段；（3）能够制定防火墙的基本规划方案；（4）能够使用常见的风险评估工具，进行基本的系统加固。</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2.</w:t>
            </w:r>
            <w:r w:rsidRPr="002614CC">
              <w:rPr>
                <w:rFonts w:ascii="宋体" w:eastAsia="宋体" w:hAnsi="宋体" w:cs="宋体" w:hint="eastAsia"/>
                <w:b/>
                <w:bCs/>
                <w:color w:val="000000"/>
                <w:kern w:val="0"/>
                <w:szCs w:val="21"/>
              </w:rPr>
              <w:t>《数据库应用与安全管理》</w:t>
            </w:r>
            <w:r w:rsidRPr="002614CC">
              <w:rPr>
                <w:rFonts w:ascii="宋体" w:eastAsia="宋体" w:hAnsi="宋体" w:cs="宋体" w:hint="eastAsia"/>
                <w:color w:val="000000"/>
                <w:kern w:val="0"/>
                <w:szCs w:val="21"/>
              </w:rPr>
              <w:t>课程：（1）能够安装和配置数据库管理系统；（2）能够创建和管理用户数据库、数据表；（3）能够操作和查询表数据；（4）能够使用索引设计数据表；（5）能够创建视图、并利用视图访问和操作表数据；（6）能够创建存储过程和存储函数、并利用存储过程和存储函数进行数据库设计；（7）能够对数据库进行安全管理和权限设置；（8）能够根据实际情况对数据库进行备份和恢复；（9）能够对数据库中的数据进行导入与导出；（10）能够实现SQL手工注入；（11）能够实现SQL工具注入；（12）能够实现对数据库注入的基本防御。</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3.</w:t>
            </w:r>
            <w:r w:rsidRPr="002614CC">
              <w:rPr>
                <w:rFonts w:ascii="宋体" w:eastAsia="宋体" w:hAnsi="宋体" w:cs="宋体" w:hint="eastAsia"/>
                <w:b/>
                <w:bCs/>
                <w:color w:val="000000"/>
                <w:kern w:val="0"/>
                <w:szCs w:val="21"/>
              </w:rPr>
              <w:t>《Web渗透与防护》</w:t>
            </w:r>
            <w:r w:rsidRPr="002614CC">
              <w:rPr>
                <w:rFonts w:ascii="宋体" w:eastAsia="宋体" w:hAnsi="宋体" w:cs="宋体" w:hint="eastAsia"/>
                <w:color w:val="000000"/>
                <w:kern w:val="0"/>
                <w:szCs w:val="21"/>
              </w:rPr>
              <w:t>课程：（1）能对Web网站安全现状进行分析；（2）能安装DVWA环境和渗透测试相关软件；（3）能使用php连接MySql数据库，并对数据进行操作；（4）能利用常规的安全漏洞进行渗透测试；（5）能够进行Web安全巡检、安全防护；（6）能根据具体客户需求，综合运用所学专业知识熟练完成目标测评。</w:t>
            </w:r>
          </w:p>
          <w:p w:rsidR="002614CC" w:rsidRPr="002614CC" w:rsidRDefault="002614CC" w:rsidP="002614CC">
            <w:pP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备注：辅修专业课程依托信息安全技术应用专业教学资源库，全部采用线上教学方式进行实施。</w:t>
            </w:r>
          </w:p>
        </w:tc>
      </w:tr>
      <w:tr w:rsidR="002614CC" w:rsidRPr="001066BC" w:rsidTr="006E1319">
        <w:trPr>
          <w:trHeight w:val="192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数据库应用与安全管理</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54</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shd w:val="clear" w:color="auto" w:fill="auto"/>
            <w:vAlign w:val="center"/>
            <w:hideMark/>
          </w:tcPr>
          <w:p w:rsidR="002614CC" w:rsidRPr="002614CC" w:rsidRDefault="002614CC" w:rsidP="002614CC">
            <w:pPr>
              <w:rPr>
                <w:rFonts w:ascii="宋体" w:eastAsia="宋体" w:hAnsi="宋体" w:cs="宋体"/>
                <w:color w:val="000000"/>
                <w:kern w:val="0"/>
                <w:szCs w:val="21"/>
              </w:rPr>
            </w:pPr>
          </w:p>
        </w:tc>
      </w:tr>
      <w:tr w:rsidR="002614CC" w:rsidRPr="001066BC" w:rsidTr="006E1319">
        <w:trPr>
          <w:trHeight w:val="72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Web渗透与防护</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72</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widowControl/>
              <w:rPr>
                <w:rFonts w:ascii="宋体" w:eastAsia="宋体" w:hAnsi="宋体" w:cs="宋体"/>
                <w:b/>
                <w:bCs/>
                <w:color w:val="000000"/>
                <w:kern w:val="0"/>
                <w:szCs w:val="21"/>
              </w:rPr>
            </w:pPr>
          </w:p>
        </w:tc>
      </w:tr>
      <w:tr w:rsidR="002614CC" w:rsidRPr="001066BC" w:rsidTr="006E1319">
        <w:trPr>
          <w:trHeight w:val="285"/>
        </w:trPr>
        <w:tc>
          <w:tcPr>
            <w:tcW w:w="2552" w:type="dxa"/>
            <w:gridSpan w:val="3"/>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小计</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150</w:t>
            </w:r>
          </w:p>
        </w:tc>
        <w:tc>
          <w:tcPr>
            <w:tcW w:w="850"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9</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162</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w:t>
            </w:r>
          </w:p>
        </w:tc>
        <w:tc>
          <w:tcPr>
            <w:tcW w:w="7229" w:type="dxa"/>
            <w:shd w:val="clear" w:color="auto" w:fill="auto"/>
            <w:vAlign w:val="center"/>
            <w:hideMark/>
          </w:tcPr>
          <w:p w:rsidR="002614CC" w:rsidRPr="002614C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r>
      <w:tr w:rsidR="002614CC" w:rsidRPr="001066BC" w:rsidTr="006E1319">
        <w:trPr>
          <w:trHeight w:val="3675"/>
        </w:trPr>
        <w:tc>
          <w:tcPr>
            <w:tcW w:w="567" w:type="dxa"/>
            <w:vMerge w:val="restart"/>
            <w:shd w:val="clear" w:color="auto" w:fill="auto"/>
            <w:vAlign w:val="center"/>
            <w:hideMark/>
          </w:tcPr>
          <w:p w:rsidR="002614CC" w:rsidRPr="002614CC" w:rsidRDefault="00870DDA" w:rsidP="002614CC">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4</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工业互联网技术</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全</w:t>
            </w:r>
            <w:r w:rsidR="00DE2C0B">
              <w:rPr>
                <w:rFonts w:ascii="宋体" w:eastAsia="宋体" w:hAnsi="宋体" w:cs="宋体" w:hint="eastAsia"/>
                <w:color w:val="000000"/>
                <w:kern w:val="0"/>
                <w:szCs w:val="21"/>
              </w:rPr>
              <w:t>校</w:t>
            </w:r>
            <w:r w:rsidRPr="002614CC">
              <w:rPr>
                <w:rFonts w:ascii="宋体" w:eastAsia="宋体" w:hAnsi="宋体" w:cs="宋体" w:hint="eastAsia"/>
                <w:color w:val="000000"/>
                <w:kern w:val="0"/>
                <w:szCs w:val="21"/>
              </w:rPr>
              <w:t>2022级非工业互联网技术专业学生</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400</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通信原理概论</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64</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val="restart"/>
            <w:shd w:val="clear" w:color="auto" w:fill="auto"/>
            <w:vAlign w:val="center"/>
            <w:hideMark/>
          </w:tcPr>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一、 辅修专业基本介绍</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工业互联网技术专业定位工业互联网产业链人才需求，培养从事网络集成与运维、设备数据上云 、标识解析服务应用、数据可视化和工业应用软件开发等岗位的工程技术人员。</w:t>
            </w:r>
          </w:p>
          <w:p w:rsidR="002614CC" w:rsidRPr="001066BC" w:rsidRDefault="002614CC" w:rsidP="002614CC">
            <w:pPr>
              <w:widowControl/>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二、辅修专业主要课程及拓展的职业岗位能力</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1．</w:t>
            </w:r>
            <w:r w:rsidRPr="002614CC">
              <w:rPr>
                <w:rFonts w:ascii="宋体" w:eastAsia="宋体" w:hAnsi="宋体" w:cs="宋体" w:hint="eastAsia"/>
                <w:b/>
                <w:bCs/>
                <w:color w:val="000000"/>
                <w:kern w:val="0"/>
                <w:szCs w:val="21"/>
              </w:rPr>
              <w:t>《通信原理》</w:t>
            </w:r>
            <w:r w:rsidRPr="002614CC">
              <w:rPr>
                <w:rFonts w:ascii="宋体" w:eastAsia="宋体" w:hAnsi="宋体" w:cs="宋体" w:hint="eastAsia"/>
                <w:color w:val="000000"/>
                <w:kern w:val="0"/>
                <w:szCs w:val="21"/>
              </w:rPr>
              <w:t>课程：（1）能够看懂常用通信设备电路原理图；（2）能分析常用通信设备的工作原理。</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2.</w:t>
            </w:r>
            <w:r w:rsidRPr="002614CC">
              <w:rPr>
                <w:rFonts w:ascii="宋体" w:eastAsia="宋体" w:hAnsi="宋体" w:cs="宋体" w:hint="eastAsia"/>
                <w:b/>
                <w:bCs/>
                <w:color w:val="000000"/>
                <w:kern w:val="0"/>
                <w:szCs w:val="21"/>
              </w:rPr>
              <w:t>《工业互联网导论》</w:t>
            </w:r>
            <w:r w:rsidRPr="002614CC">
              <w:rPr>
                <w:rFonts w:ascii="宋体" w:eastAsia="宋体" w:hAnsi="宋体" w:cs="宋体" w:hint="eastAsia"/>
                <w:color w:val="000000"/>
                <w:kern w:val="0"/>
                <w:szCs w:val="21"/>
              </w:rPr>
              <w:t>课程：（1）能理解工业互联网的整体架构体系及标准化概念（2）理解并能区分工业互联网各个层级的关键技术。</w:t>
            </w:r>
          </w:p>
          <w:p w:rsidR="002614CC" w:rsidRPr="001066B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3.</w:t>
            </w:r>
            <w:r w:rsidRPr="002614CC">
              <w:rPr>
                <w:rFonts w:ascii="宋体" w:eastAsia="宋体" w:hAnsi="宋体" w:cs="宋体" w:hint="eastAsia"/>
                <w:b/>
                <w:bCs/>
                <w:color w:val="000000"/>
                <w:kern w:val="0"/>
                <w:szCs w:val="21"/>
              </w:rPr>
              <w:t>《工业互联网网络运维》</w:t>
            </w:r>
            <w:r w:rsidRPr="002614CC">
              <w:rPr>
                <w:rFonts w:ascii="宋体" w:eastAsia="宋体" w:hAnsi="宋体" w:cs="宋体" w:hint="eastAsia"/>
                <w:color w:val="000000"/>
                <w:kern w:val="0"/>
                <w:szCs w:val="21"/>
              </w:rPr>
              <w:t>课程：能够进行工业网络通测、工业设备组态与部署、网络协议转换及接口转换、现场数据采集网络部署、工业互联网IOT系统配置与管理。</w:t>
            </w:r>
          </w:p>
          <w:p w:rsidR="002614CC" w:rsidRPr="002614CC" w:rsidRDefault="002614CC" w:rsidP="002614CC">
            <w:pPr>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备注：辅修专业课程依托工业互联网技术专业资源库，全部采用线上教学方式进行实施。</w:t>
            </w:r>
          </w:p>
        </w:tc>
      </w:tr>
      <w:tr w:rsidR="002614CC" w:rsidRPr="001066BC" w:rsidTr="006E1319">
        <w:trPr>
          <w:trHeight w:val="96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工业互联网导论</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2</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32</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shd w:val="clear" w:color="auto" w:fill="auto"/>
            <w:vAlign w:val="center"/>
            <w:hideMark/>
          </w:tcPr>
          <w:p w:rsidR="002614CC" w:rsidRPr="002614CC" w:rsidRDefault="002614CC" w:rsidP="002614CC">
            <w:pPr>
              <w:rPr>
                <w:rFonts w:ascii="宋体" w:eastAsia="宋体" w:hAnsi="宋体" w:cs="宋体"/>
                <w:color w:val="000000"/>
                <w:kern w:val="0"/>
                <w:szCs w:val="21"/>
              </w:rPr>
            </w:pPr>
          </w:p>
        </w:tc>
      </w:tr>
      <w:tr w:rsidR="002614CC" w:rsidRPr="001066BC" w:rsidTr="006E1319">
        <w:trPr>
          <w:trHeight w:val="720"/>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工业互联网网络运维</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6</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72</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widowControl/>
              <w:rPr>
                <w:rFonts w:ascii="宋体" w:eastAsia="宋体" w:hAnsi="宋体" w:cs="宋体"/>
                <w:b/>
                <w:bCs/>
                <w:color w:val="000000"/>
                <w:kern w:val="0"/>
                <w:szCs w:val="21"/>
              </w:rPr>
            </w:pPr>
          </w:p>
        </w:tc>
      </w:tr>
      <w:tr w:rsidR="002614CC" w:rsidRPr="001066BC" w:rsidTr="006E1319">
        <w:trPr>
          <w:trHeight w:val="285"/>
        </w:trPr>
        <w:tc>
          <w:tcPr>
            <w:tcW w:w="2552" w:type="dxa"/>
            <w:gridSpan w:val="3"/>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小计</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400</w:t>
            </w:r>
          </w:p>
        </w:tc>
        <w:tc>
          <w:tcPr>
            <w:tcW w:w="850"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12</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168</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w:t>
            </w:r>
          </w:p>
        </w:tc>
        <w:tc>
          <w:tcPr>
            <w:tcW w:w="7229" w:type="dxa"/>
            <w:shd w:val="clear" w:color="auto" w:fill="auto"/>
            <w:vAlign w:val="center"/>
            <w:hideMark/>
          </w:tcPr>
          <w:p w:rsidR="002614CC" w:rsidRPr="002614CC" w:rsidRDefault="002614CC"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r>
      <w:tr w:rsidR="002614CC" w:rsidRPr="001066BC" w:rsidTr="006E1319">
        <w:trPr>
          <w:trHeight w:val="2673"/>
        </w:trPr>
        <w:tc>
          <w:tcPr>
            <w:tcW w:w="567" w:type="dxa"/>
            <w:vMerge w:val="restart"/>
            <w:shd w:val="clear" w:color="auto" w:fill="auto"/>
            <w:vAlign w:val="center"/>
            <w:hideMark/>
          </w:tcPr>
          <w:p w:rsidR="002614CC" w:rsidRPr="002614CC" w:rsidRDefault="00870DDA" w:rsidP="002614CC">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5</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环境艺术设计</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全</w:t>
            </w:r>
            <w:r w:rsidR="00DE2C0B">
              <w:rPr>
                <w:rFonts w:ascii="宋体" w:eastAsia="宋体" w:hAnsi="宋体" w:cs="宋体" w:hint="eastAsia"/>
                <w:color w:val="000000"/>
                <w:kern w:val="0"/>
                <w:szCs w:val="21"/>
              </w:rPr>
              <w:t>校</w:t>
            </w:r>
            <w:r w:rsidRPr="002614CC">
              <w:rPr>
                <w:rFonts w:ascii="宋体" w:eastAsia="宋体" w:hAnsi="宋体" w:cs="宋体" w:hint="eastAsia"/>
                <w:color w:val="000000"/>
                <w:kern w:val="0"/>
                <w:szCs w:val="21"/>
              </w:rPr>
              <w:t>2022级非环境艺术设计专业学生</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30</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手绘快题表现</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54</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val="restart"/>
            <w:shd w:val="clear" w:color="auto" w:fill="auto"/>
            <w:vAlign w:val="center"/>
            <w:hideMark/>
          </w:tcPr>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一、辅修专业基本介绍</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环境艺术设计专业培养具有实践能力和设计能力相结合的环境艺术设计专业的技术应用型人才，主要包括室内软装设计与室内空间设计等。</w:t>
            </w:r>
          </w:p>
          <w:p w:rsidR="002614CC" w:rsidRPr="001066BC" w:rsidRDefault="002614CC" w:rsidP="002614CC">
            <w:pPr>
              <w:widowControl/>
              <w:jc w:val="left"/>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二、辅修专业主要课程及拓展的职业岗位能力</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1.</w:t>
            </w:r>
            <w:r w:rsidRPr="002614CC">
              <w:rPr>
                <w:rFonts w:ascii="宋体" w:eastAsia="宋体" w:hAnsi="宋体" w:cs="宋体" w:hint="eastAsia"/>
                <w:b/>
                <w:bCs/>
                <w:color w:val="000000"/>
                <w:kern w:val="0"/>
                <w:szCs w:val="21"/>
              </w:rPr>
              <w:t>《手绘快题表现》</w:t>
            </w:r>
            <w:r w:rsidRPr="002614CC">
              <w:rPr>
                <w:rFonts w:ascii="宋体" w:eastAsia="宋体" w:hAnsi="宋体" w:cs="宋体" w:hint="eastAsia"/>
                <w:color w:val="000000"/>
                <w:kern w:val="0"/>
                <w:szCs w:val="21"/>
              </w:rPr>
              <w:t>课程： （1）能掌握市场常见的各类装饰材料的特性和使用范围；（2）能识别手绘的设计图纸。（3）掌握是施工图纸的基本标准。</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2.</w:t>
            </w:r>
            <w:r w:rsidRPr="002614CC">
              <w:rPr>
                <w:rFonts w:ascii="宋体" w:eastAsia="宋体" w:hAnsi="宋体" w:cs="宋体" w:hint="eastAsia"/>
                <w:b/>
                <w:bCs/>
                <w:color w:val="000000"/>
                <w:kern w:val="0"/>
                <w:szCs w:val="21"/>
              </w:rPr>
              <w:t>《装饰材料与工艺》</w:t>
            </w:r>
            <w:r w:rsidRPr="002614CC">
              <w:rPr>
                <w:rFonts w:ascii="宋体" w:eastAsia="宋体" w:hAnsi="宋体" w:cs="宋体" w:hint="eastAsia"/>
                <w:color w:val="000000"/>
                <w:kern w:val="0"/>
                <w:szCs w:val="21"/>
              </w:rPr>
              <w:t>课程：（1）掌握影片拍摄与制作流程；（2）能掌握装饰施工工艺的基本流程。（3）能掌握项目设计与施工的流程。（4）能掌握项目管理内容。</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3.</w:t>
            </w:r>
            <w:r w:rsidRPr="002614CC">
              <w:rPr>
                <w:rFonts w:ascii="宋体" w:eastAsia="宋体" w:hAnsi="宋体" w:cs="宋体" w:hint="eastAsia"/>
                <w:b/>
                <w:bCs/>
                <w:color w:val="000000"/>
                <w:kern w:val="0"/>
                <w:szCs w:val="21"/>
              </w:rPr>
              <w:t>《室内陈设设计》</w:t>
            </w:r>
            <w:r w:rsidRPr="002614CC">
              <w:rPr>
                <w:rFonts w:ascii="宋体" w:eastAsia="宋体" w:hAnsi="宋体" w:cs="宋体" w:hint="eastAsia"/>
                <w:color w:val="000000"/>
                <w:kern w:val="0"/>
                <w:szCs w:val="21"/>
              </w:rPr>
              <w:t>课程：（1）能够掌握室内软装的搭配软则。（2）能掌握室内软装的风格的类别。（3）掌握软装单体的制作与区域搭配知识。</w:t>
            </w:r>
          </w:p>
          <w:p w:rsidR="002614CC" w:rsidRPr="002614CC" w:rsidRDefault="002614CC" w:rsidP="002614CC">
            <w:pPr>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4.</w:t>
            </w:r>
            <w:r w:rsidRPr="002614CC">
              <w:rPr>
                <w:rFonts w:ascii="宋体" w:eastAsia="宋体" w:hAnsi="宋体" w:cs="宋体" w:hint="eastAsia"/>
                <w:b/>
                <w:bCs/>
                <w:color w:val="000000"/>
                <w:kern w:val="0"/>
                <w:szCs w:val="21"/>
              </w:rPr>
              <w:t>《家居空间设计Ⅰ》</w:t>
            </w:r>
            <w:r w:rsidRPr="002614CC">
              <w:rPr>
                <w:rFonts w:ascii="宋体" w:eastAsia="宋体" w:hAnsi="宋体" w:cs="宋体" w:hint="eastAsia"/>
                <w:color w:val="000000"/>
                <w:kern w:val="0"/>
                <w:szCs w:val="21"/>
              </w:rPr>
              <w:t>课程：（1）掌握家居空间设计基本理论知识；（2）掌握家居装饰色彩设计搭配知识；（3）掌握家居灯光组合设计规律；（4）掌握家居空间设计流程</w:t>
            </w:r>
          </w:p>
        </w:tc>
      </w:tr>
      <w:tr w:rsidR="002614CC" w:rsidRPr="001066BC" w:rsidTr="006E1319">
        <w:trPr>
          <w:trHeight w:val="2295"/>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装饰材料与工艺</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72</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r>
      <w:tr w:rsidR="002614CC" w:rsidRPr="001066BC" w:rsidTr="006E1319">
        <w:trPr>
          <w:trHeight w:val="688"/>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室内陈设设计</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72</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r>
      <w:tr w:rsidR="002614CC" w:rsidRPr="001066BC" w:rsidTr="006E1319">
        <w:trPr>
          <w:trHeight w:val="1195"/>
        </w:trPr>
        <w:tc>
          <w:tcPr>
            <w:tcW w:w="567"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家居空间设计Ⅰ</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5</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90</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p>
        </w:tc>
      </w:tr>
      <w:tr w:rsidR="002614CC" w:rsidRPr="001066BC" w:rsidTr="006E1319">
        <w:trPr>
          <w:trHeight w:val="285"/>
        </w:trPr>
        <w:tc>
          <w:tcPr>
            <w:tcW w:w="2552" w:type="dxa"/>
            <w:gridSpan w:val="3"/>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小计</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30</w:t>
            </w:r>
          </w:p>
        </w:tc>
        <w:tc>
          <w:tcPr>
            <w:tcW w:w="850"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w:t>
            </w:r>
          </w:p>
        </w:tc>
        <w:tc>
          <w:tcPr>
            <w:tcW w:w="709" w:type="dxa"/>
            <w:shd w:val="clear" w:color="auto" w:fill="auto"/>
            <w:vAlign w:val="center"/>
            <w:hideMark/>
          </w:tcPr>
          <w:p w:rsidR="002614CC" w:rsidRPr="002614CC" w:rsidRDefault="002614CC" w:rsidP="00F80E6A">
            <w:pPr>
              <w:widowControl/>
              <w:ind w:right="210"/>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16</w:t>
            </w:r>
          </w:p>
        </w:tc>
        <w:tc>
          <w:tcPr>
            <w:tcW w:w="567" w:type="dxa"/>
            <w:shd w:val="clear" w:color="auto" w:fill="auto"/>
            <w:noWrap/>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r w:rsidR="00F80E6A" w:rsidRPr="002614CC">
              <w:rPr>
                <w:rFonts w:ascii="宋体" w:eastAsia="宋体" w:hAnsi="宋体" w:cs="宋体" w:hint="eastAsia"/>
                <w:color w:val="000000"/>
                <w:kern w:val="0"/>
                <w:szCs w:val="21"/>
              </w:rPr>
              <w:t>288</w:t>
            </w:r>
          </w:p>
        </w:tc>
        <w:tc>
          <w:tcPr>
            <w:tcW w:w="709" w:type="dxa"/>
            <w:shd w:val="clear" w:color="auto" w:fill="auto"/>
            <w:vAlign w:val="center"/>
            <w:hideMark/>
          </w:tcPr>
          <w:p w:rsidR="002614CC" w:rsidRPr="002614CC" w:rsidRDefault="002614CC" w:rsidP="002614CC">
            <w:pPr>
              <w:widowControl/>
              <w:jc w:val="right"/>
              <w:rPr>
                <w:rFonts w:ascii="宋体" w:eastAsia="宋体" w:hAnsi="宋体" w:cs="宋体"/>
                <w:color w:val="000000"/>
                <w:kern w:val="0"/>
                <w:szCs w:val="21"/>
              </w:rPr>
            </w:pPr>
          </w:p>
        </w:tc>
        <w:tc>
          <w:tcPr>
            <w:tcW w:w="7229" w:type="dxa"/>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r>
      <w:tr w:rsidR="002614CC" w:rsidRPr="001066BC" w:rsidTr="006E1319">
        <w:trPr>
          <w:trHeight w:val="3294"/>
        </w:trPr>
        <w:tc>
          <w:tcPr>
            <w:tcW w:w="567" w:type="dxa"/>
            <w:vMerge w:val="restart"/>
            <w:shd w:val="clear" w:color="auto" w:fill="auto"/>
            <w:vAlign w:val="center"/>
            <w:hideMark/>
          </w:tcPr>
          <w:p w:rsidR="002614CC" w:rsidRPr="002614CC" w:rsidRDefault="00870DDA" w:rsidP="002614CC">
            <w:pPr>
              <w:widowControl/>
              <w:ind w:right="600"/>
              <w:jc w:val="center"/>
              <w:rPr>
                <w:rFonts w:ascii="宋体" w:eastAsia="宋体" w:hAnsi="宋体" w:cs="宋体"/>
                <w:color w:val="000000"/>
                <w:kern w:val="0"/>
                <w:szCs w:val="21"/>
              </w:rPr>
            </w:pPr>
            <w:r>
              <w:rPr>
                <w:rFonts w:ascii="宋体" w:eastAsia="宋体" w:hAnsi="宋体" w:cs="宋体"/>
                <w:color w:val="000000"/>
                <w:kern w:val="0"/>
                <w:szCs w:val="21"/>
              </w:rPr>
              <w:lastRenderedPageBreak/>
              <w:t>6</w:t>
            </w:r>
          </w:p>
        </w:tc>
        <w:tc>
          <w:tcPr>
            <w:tcW w:w="993"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数字视觉传达</w:t>
            </w:r>
          </w:p>
        </w:tc>
        <w:tc>
          <w:tcPr>
            <w:tcW w:w="992"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全</w:t>
            </w:r>
            <w:r w:rsidR="00DE2C0B">
              <w:rPr>
                <w:rFonts w:ascii="宋体" w:eastAsia="宋体" w:hAnsi="宋体" w:cs="宋体" w:hint="eastAsia"/>
                <w:color w:val="000000"/>
                <w:kern w:val="0"/>
                <w:szCs w:val="21"/>
              </w:rPr>
              <w:t>校</w:t>
            </w:r>
            <w:r w:rsidRPr="002614CC">
              <w:rPr>
                <w:rFonts w:ascii="宋体" w:eastAsia="宋体" w:hAnsi="宋体" w:cs="宋体" w:hint="eastAsia"/>
                <w:color w:val="000000"/>
                <w:kern w:val="0"/>
                <w:szCs w:val="21"/>
              </w:rPr>
              <w:t>2022级非视觉传达专业学生</w:t>
            </w:r>
          </w:p>
        </w:tc>
        <w:tc>
          <w:tcPr>
            <w:tcW w:w="709"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30</w:t>
            </w:r>
          </w:p>
        </w:tc>
        <w:tc>
          <w:tcPr>
            <w:tcW w:w="850" w:type="dxa"/>
            <w:vMerge w:val="restart"/>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1</w:t>
            </w:r>
          </w:p>
        </w:tc>
        <w:tc>
          <w:tcPr>
            <w:tcW w:w="992"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设计基础</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54</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三</w:t>
            </w:r>
          </w:p>
        </w:tc>
        <w:tc>
          <w:tcPr>
            <w:tcW w:w="7229" w:type="dxa"/>
            <w:vMerge w:val="restart"/>
            <w:shd w:val="clear" w:color="auto" w:fill="auto"/>
            <w:vAlign w:val="center"/>
            <w:hideMark/>
          </w:tcPr>
          <w:p w:rsidR="002614CC" w:rsidRPr="001066BC" w:rsidRDefault="002614CC" w:rsidP="002614CC">
            <w:pPr>
              <w:widowControl/>
              <w:jc w:val="left"/>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一、辅修专业基本介绍</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视觉传达设计专业面向广告设计、网络美工设计、文化创意设计、品牌形象设计等行业，培养具有数字技术制作与文化创意设计的技能型人才。</w:t>
            </w:r>
          </w:p>
          <w:p w:rsidR="002614CC" w:rsidRPr="001066BC" w:rsidRDefault="002614CC" w:rsidP="002614CC">
            <w:pPr>
              <w:widowControl/>
              <w:jc w:val="left"/>
              <w:rPr>
                <w:rFonts w:ascii="宋体" w:eastAsia="宋体" w:hAnsi="宋体" w:cs="宋体"/>
                <w:b/>
                <w:bCs/>
                <w:color w:val="000000"/>
                <w:kern w:val="0"/>
                <w:szCs w:val="21"/>
              </w:rPr>
            </w:pPr>
            <w:r w:rsidRPr="002614CC">
              <w:rPr>
                <w:rFonts w:ascii="宋体" w:eastAsia="宋体" w:hAnsi="宋体" w:cs="宋体" w:hint="eastAsia"/>
                <w:b/>
                <w:bCs/>
                <w:color w:val="000000"/>
                <w:kern w:val="0"/>
                <w:szCs w:val="21"/>
              </w:rPr>
              <w:t>二、辅修专业主要课程及拓展的职业岗位能力</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1．《设计基础》课程：（1）了解美的形式法则；（2）能够进行形式美的视觉表现。</w:t>
            </w:r>
          </w:p>
          <w:p w:rsidR="002614CC" w:rsidRPr="001066B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2.《图形图像设计》课程：（1）掌握图像的编辑与调色方法；（2）能进行图像的合成表现。</w:t>
            </w:r>
          </w:p>
          <w:p w:rsidR="002614CC" w:rsidRPr="002614CC" w:rsidRDefault="002614CC" w:rsidP="002614CC">
            <w:pPr>
              <w:jc w:val="left"/>
              <w:rPr>
                <w:rFonts w:ascii="宋体" w:eastAsia="宋体" w:hAnsi="宋体" w:cs="宋体"/>
                <w:b/>
                <w:bCs/>
                <w:color w:val="000000"/>
                <w:kern w:val="0"/>
                <w:szCs w:val="21"/>
              </w:rPr>
            </w:pPr>
            <w:r w:rsidRPr="002614CC">
              <w:rPr>
                <w:rFonts w:ascii="宋体" w:eastAsia="宋体" w:hAnsi="宋体" w:cs="宋体" w:hint="eastAsia"/>
                <w:color w:val="000000"/>
                <w:kern w:val="0"/>
                <w:szCs w:val="21"/>
              </w:rPr>
              <w:t>3.《数字创意世界》课程：（1）掌握图形的绘制与编辑技能；（2）利用工具能够完成相关海报的设计制作。</w:t>
            </w:r>
          </w:p>
        </w:tc>
      </w:tr>
      <w:tr w:rsidR="002614CC" w:rsidRPr="001066BC" w:rsidTr="006E1319">
        <w:trPr>
          <w:trHeight w:val="546"/>
        </w:trPr>
        <w:tc>
          <w:tcPr>
            <w:tcW w:w="567"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图形图像设计</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4</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72</w:t>
            </w:r>
          </w:p>
        </w:tc>
        <w:tc>
          <w:tcPr>
            <w:tcW w:w="709" w:type="dxa"/>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jc w:val="left"/>
              <w:rPr>
                <w:rFonts w:ascii="宋体" w:eastAsia="宋体" w:hAnsi="宋体" w:cs="宋体"/>
                <w:color w:val="000000"/>
                <w:kern w:val="0"/>
                <w:szCs w:val="21"/>
              </w:rPr>
            </w:pPr>
          </w:p>
        </w:tc>
      </w:tr>
      <w:tr w:rsidR="002614CC" w:rsidRPr="001066BC" w:rsidTr="006E1319">
        <w:trPr>
          <w:trHeight w:val="1530"/>
        </w:trPr>
        <w:tc>
          <w:tcPr>
            <w:tcW w:w="567" w:type="dxa"/>
            <w:vMerge/>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3"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709"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850" w:type="dxa"/>
            <w:vMerge/>
            <w:vAlign w:val="center"/>
            <w:hideMark/>
          </w:tcPr>
          <w:p w:rsidR="002614CC" w:rsidRPr="002614CC" w:rsidRDefault="002614CC" w:rsidP="002614CC">
            <w:pPr>
              <w:widowControl/>
              <w:jc w:val="left"/>
              <w:rPr>
                <w:rFonts w:ascii="宋体" w:eastAsia="宋体" w:hAnsi="宋体" w:cs="宋体"/>
                <w:color w:val="000000"/>
                <w:kern w:val="0"/>
                <w:szCs w:val="21"/>
              </w:rPr>
            </w:pPr>
          </w:p>
        </w:tc>
        <w:tc>
          <w:tcPr>
            <w:tcW w:w="992" w:type="dxa"/>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数字创意世界</w:t>
            </w:r>
          </w:p>
        </w:tc>
        <w:tc>
          <w:tcPr>
            <w:tcW w:w="709"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2</w:t>
            </w:r>
          </w:p>
        </w:tc>
        <w:tc>
          <w:tcPr>
            <w:tcW w:w="567" w:type="dxa"/>
            <w:shd w:val="clear" w:color="auto" w:fill="auto"/>
            <w:vAlign w:val="center"/>
            <w:hideMark/>
          </w:tcPr>
          <w:p w:rsidR="002614CC" w:rsidRPr="002614CC" w:rsidRDefault="002614CC"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32</w:t>
            </w:r>
          </w:p>
        </w:tc>
        <w:tc>
          <w:tcPr>
            <w:tcW w:w="709" w:type="dxa"/>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四</w:t>
            </w:r>
          </w:p>
        </w:tc>
        <w:tc>
          <w:tcPr>
            <w:tcW w:w="7229" w:type="dxa"/>
            <w:vMerge/>
            <w:shd w:val="clear" w:color="auto" w:fill="auto"/>
            <w:vAlign w:val="center"/>
            <w:hideMark/>
          </w:tcPr>
          <w:p w:rsidR="002614CC" w:rsidRPr="002614CC" w:rsidRDefault="002614CC" w:rsidP="002614CC">
            <w:pPr>
              <w:widowControl/>
              <w:jc w:val="left"/>
              <w:rPr>
                <w:rFonts w:ascii="宋体" w:eastAsia="宋体" w:hAnsi="宋体" w:cs="宋体"/>
                <w:color w:val="000000"/>
                <w:kern w:val="0"/>
                <w:szCs w:val="21"/>
              </w:rPr>
            </w:pPr>
          </w:p>
        </w:tc>
      </w:tr>
      <w:tr w:rsidR="0068007E" w:rsidRPr="001066BC" w:rsidTr="006E1319">
        <w:trPr>
          <w:trHeight w:val="285"/>
        </w:trPr>
        <w:tc>
          <w:tcPr>
            <w:tcW w:w="2552" w:type="dxa"/>
            <w:gridSpan w:val="3"/>
            <w:shd w:val="clear" w:color="auto" w:fill="auto"/>
            <w:noWrap/>
            <w:vAlign w:val="center"/>
            <w:hideMark/>
          </w:tcPr>
          <w:p w:rsidR="0068007E" w:rsidRPr="002614CC" w:rsidRDefault="0068007E" w:rsidP="0068007E">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小计</w:t>
            </w:r>
          </w:p>
        </w:tc>
        <w:tc>
          <w:tcPr>
            <w:tcW w:w="709" w:type="dxa"/>
            <w:shd w:val="clear" w:color="auto" w:fill="auto"/>
            <w:vAlign w:val="center"/>
            <w:hideMark/>
          </w:tcPr>
          <w:p w:rsidR="0068007E" w:rsidRPr="002614CC" w:rsidRDefault="0068007E" w:rsidP="006300E6">
            <w:pPr>
              <w:widowControl/>
              <w:jc w:val="center"/>
              <w:rPr>
                <w:rFonts w:ascii="宋体" w:eastAsia="宋体" w:hAnsi="宋体" w:cs="宋体"/>
                <w:color w:val="000000"/>
                <w:kern w:val="0"/>
                <w:szCs w:val="21"/>
              </w:rPr>
            </w:pPr>
            <w:r w:rsidRPr="001066BC">
              <w:rPr>
                <w:rFonts w:ascii="宋体" w:eastAsia="宋体" w:hAnsi="宋体" w:cs="宋体" w:hint="eastAsia"/>
                <w:color w:val="000000"/>
                <w:kern w:val="0"/>
                <w:szCs w:val="21"/>
              </w:rPr>
              <w:t>3</w:t>
            </w:r>
            <w:r w:rsidRPr="001066BC">
              <w:rPr>
                <w:rFonts w:ascii="宋体" w:eastAsia="宋体" w:hAnsi="宋体" w:cs="宋体"/>
                <w:color w:val="000000"/>
                <w:kern w:val="0"/>
                <w:szCs w:val="21"/>
              </w:rPr>
              <w:t>0</w:t>
            </w:r>
          </w:p>
        </w:tc>
        <w:tc>
          <w:tcPr>
            <w:tcW w:w="850" w:type="dxa"/>
            <w:shd w:val="clear" w:color="auto" w:fill="auto"/>
            <w:vAlign w:val="center"/>
            <w:hideMark/>
          </w:tcPr>
          <w:p w:rsidR="0068007E" w:rsidRPr="002614CC" w:rsidRDefault="0068007E"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r w:rsidRPr="001066BC">
              <w:rPr>
                <w:rFonts w:ascii="宋体" w:eastAsia="宋体" w:hAnsi="宋体" w:cs="宋体" w:hint="eastAsia"/>
                <w:color w:val="000000"/>
                <w:kern w:val="0"/>
                <w:szCs w:val="21"/>
              </w:rPr>
              <w:t>1</w:t>
            </w:r>
          </w:p>
        </w:tc>
        <w:tc>
          <w:tcPr>
            <w:tcW w:w="992" w:type="dxa"/>
            <w:shd w:val="clear" w:color="auto" w:fill="auto"/>
            <w:vAlign w:val="center"/>
            <w:hideMark/>
          </w:tcPr>
          <w:p w:rsidR="0068007E" w:rsidRPr="002614CC" w:rsidRDefault="0068007E" w:rsidP="004437FF">
            <w:pPr>
              <w:widowControl/>
              <w:ind w:right="400"/>
              <w:jc w:val="right"/>
              <w:rPr>
                <w:rFonts w:ascii="宋体" w:eastAsia="宋体" w:hAnsi="宋体" w:cs="宋体"/>
                <w:color w:val="000000"/>
                <w:kern w:val="0"/>
                <w:szCs w:val="21"/>
              </w:rPr>
            </w:pPr>
          </w:p>
        </w:tc>
        <w:tc>
          <w:tcPr>
            <w:tcW w:w="709" w:type="dxa"/>
            <w:shd w:val="clear" w:color="auto" w:fill="auto"/>
            <w:vAlign w:val="center"/>
            <w:hideMark/>
          </w:tcPr>
          <w:p w:rsidR="0068007E" w:rsidRPr="002614CC" w:rsidRDefault="0068007E" w:rsidP="002614CC">
            <w:pPr>
              <w:widowControl/>
              <w:jc w:val="center"/>
              <w:rPr>
                <w:rFonts w:ascii="宋体" w:eastAsia="宋体" w:hAnsi="宋体" w:cs="宋体"/>
                <w:color w:val="000000"/>
                <w:kern w:val="0"/>
                <w:szCs w:val="21"/>
              </w:rPr>
            </w:pPr>
            <w:r w:rsidRPr="002614CC">
              <w:rPr>
                <w:rFonts w:ascii="宋体" w:eastAsia="宋体" w:hAnsi="宋体" w:cs="宋体" w:hint="eastAsia"/>
                <w:color w:val="000000"/>
                <w:kern w:val="0"/>
                <w:szCs w:val="21"/>
              </w:rPr>
              <w:t>9</w:t>
            </w:r>
          </w:p>
        </w:tc>
        <w:tc>
          <w:tcPr>
            <w:tcW w:w="567" w:type="dxa"/>
            <w:shd w:val="clear" w:color="auto" w:fill="auto"/>
            <w:vAlign w:val="center"/>
            <w:hideMark/>
          </w:tcPr>
          <w:p w:rsidR="0068007E" w:rsidRPr="002614CC" w:rsidRDefault="0068007E" w:rsidP="002614CC">
            <w:pPr>
              <w:widowControl/>
              <w:rPr>
                <w:rFonts w:ascii="宋体" w:eastAsia="宋体" w:hAnsi="宋体" w:cs="宋体"/>
                <w:color w:val="000000"/>
                <w:kern w:val="0"/>
                <w:szCs w:val="21"/>
              </w:rPr>
            </w:pPr>
            <w:r w:rsidRPr="002614CC">
              <w:rPr>
                <w:rFonts w:ascii="宋体" w:eastAsia="宋体" w:hAnsi="宋体" w:cs="宋体" w:hint="eastAsia"/>
                <w:color w:val="000000"/>
                <w:kern w:val="0"/>
                <w:szCs w:val="21"/>
              </w:rPr>
              <w:t>158</w:t>
            </w:r>
          </w:p>
        </w:tc>
        <w:tc>
          <w:tcPr>
            <w:tcW w:w="709" w:type="dxa"/>
            <w:shd w:val="clear" w:color="auto" w:fill="auto"/>
            <w:vAlign w:val="center"/>
            <w:hideMark/>
          </w:tcPr>
          <w:p w:rsidR="0068007E" w:rsidRPr="002614CC" w:rsidRDefault="0068007E"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c>
          <w:tcPr>
            <w:tcW w:w="7229" w:type="dxa"/>
            <w:shd w:val="clear" w:color="auto" w:fill="auto"/>
            <w:vAlign w:val="center"/>
            <w:hideMark/>
          </w:tcPr>
          <w:p w:rsidR="0068007E" w:rsidRPr="002614CC" w:rsidRDefault="0068007E" w:rsidP="002614CC">
            <w:pPr>
              <w:widowControl/>
              <w:jc w:val="left"/>
              <w:rPr>
                <w:rFonts w:ascii="宋体" w:eastAsia="宋体" w:hAnsi="宋体" w:cs="宋体"/>
                <w:color w:val="000000"/>
                <w:kern w:val="0"/>
                <w:szCs w:val="21"/>
              </w:rPr>
            </w:pPr>
            <w:r w:rsidRPr="002614CC">
              <w:rPr>
                <w:rFonts w:ascii="宋体" w:eastAsia="宋体" w:hAnsi="宋体" w:cs="宋体" w:hint="eastAsia"/>
                <w:color w:val="000000"/>
                <w:kern w:val="0"/>
                <w:szCs w:val="21"/>
              </w:rPr>
              <w:t xml:space="preserve">　</w:t>
            </w:r>
          </w:p>
        </w:tc>
      </w:tr>
    </w:tbl>
    <w:p w:rsidR="000275ED" w:rsidRDefault="000275ED"/>
    <w:sectPr w:rsidR="000275ED" w:rsidSect="00D100AD">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345" w:rsidRDefault="000F7345" w:rsidP="00C3319E">
      <w:r>
        <w:separator/>
      </w:r>
    </w:p>
  </w:endnote>
  <w:endnote w:type="continuationSeparator" w:id="0">
    <w:p w:rsidR="000F7345" w:rsidRDefault="000F7345" w:rsidP="00C3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345" w:rsidRDefault="000F7345" w:rsidP="00C3319E">
      <w:r>
        <w:separator/>
      </w:r>
    </w:p>
  </w:footnote>
  <w:footnote w:type="continuationSeparator" w:id="0">
    <w:p w:rsidR="000F7345" w:rsidRDefault="000F7345" w:rsidP="00C33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77"/>
    <w:rsid w:val="000275ED"/>
    <w:rsid w:val="000D6147"/>
    <w:rsid w:val="000F7345"/>
    <w:rsid w:val="001066BC"/>
    <w:rsid w:val="001205E0"/>
    <w:rsid w:val="001B22BF"/>
    <w:rsid w:val="001E1190"/>
    <w:rsid w:val="001E3B53"/>
    <w:rsid w:val="002614CC"/>
    <w:rsid w:val="003E377C"/>
    <w:rsid w:val="004437FF"/>
    <w:rsid w:val="00582F77"/>
    <w:rsid w:val="005938AF"/>
    <w:rsid w:val="00621049"/>
    <w:rsid w:val="006300E6"/>
    <w:rsid w:val="0068007E"/>
    <w:rsid w:val="006E1319"/>
    <w:rsid w:val="008248EC"/>
    <w:rsid w:val="00870DDA"/>
    <w:rsid w:val="00B02817"/>
    <w:rsid w:val="00B75DBD"/>
    <w:rsid w:val="00C3319E"/>
    <w:rsid w:val="00C633DE"/>
    <w:rsid w:val="00CB5A55"/>
    <w:rsid w:val="00D100AD"/>
    <w:rsid w:val="00DE2C0B"/>
    <w:rsid w:val="00EF7FBB"/>
    <w:rsid w:val="00F80E6A"/>
    <w:rsid w:val="00F8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E83A"/>
  <w15:chartTrackingRefBased/>
  <w15:docId w15:val="{3644341C-E742-44C1-A0A4-8227F424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F77"/>
    <w:rPr>
      <w:color w:val="0563C1"/>
      <w:u w:val="single"/>
    </w:rPr>
  </w:style>
  <w:style w:type="character" w:styleId="a4">
    <w:name w:val="FollowedHyperlink"/>
    <w:basedOn w:val="a0"/>
    <w:uiPriority w:val="99"/>
    <w:semiHidden/>
    <w:unhideWhenUsed/>
    <w:rsid w:val="00582F77"/>
    <w:rPr>
      <w:color w:val="954F72"/>
      <w:u w:val="single"/>
    </w:rPr>
  </w:style>
  <w:style w:type="paragraph" w:customStyle="1" w:styleId="msonormal0">
    <w:name w:val="msonormal"/>
    <w:basedOn w:val="a"/>
    <w:rsid w:val="00582F7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582F7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6">
    <w:name w:val="font6"/>
    <w:basedOn w:val="a"/>
    <w:rsid w:val="00582F77"/>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7">
    <w:name w:val="font7"/>
    <w:basedOn w:val="a"/>
    <w:rsid w:val="00582F77"/>
    <w:pPr>
      <w:widowControl/>
      <w:spacing w:before="100" w:beforeAutospacing="1" w:after="100" w:afterAutospacing="1"/>
      <w:jc w:val="left"/>
    </w:pPr>
    <w:rPr>
      <w:rFonts w:ascii="宋体" w:eastAsia="宋体" w:hAnsi="宋体" w:cs="宋体"/>
      <w:b/>
      <w:bCs/>
      <w:color w:val="000000"/>
      <w:kern w:val="0"/>
      <w:szCs w:val="21"/>
    </w:rPr>
  </w:style>
  <w:style w:type="paragraph" w:customStyle="1" w:styleId="font8">
    <w:name w:val="font8"/>
    <w:basedOn w:val="a"/>
    <w:rsid w:val="00582F7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rsid w:val="00582F77"/>
    <w:pPr>
      <w:widowControl/>
      <w:spacing w:before="100" w:beforeAutospacing="1" w:after="100" w:afterAutospacing="1"/>
      <w:jc w:val="left"/>
    </w:pPr>
    <w:rPr>
      <w:rFonts w:ascii="宋体" w:eastAsia="宋体" w:hAnsi="宋体" w:cs="宋体"/>
      <w:color w:val="000000"/>
      <w:kern w:val="0"/>
      <w:szCs w:val="21"/>
    </w:rPr>
  </w:style>
  <w:style w:type="paragraph" w:customStyle="1" w:styleId="font10">
    <w:name w:val="font10"/>
    <w:basedOn w:val="a"/>
    <w:rsid w:val="00582F77"/>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582F77"/>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12">
    <w:name w:val="font12"/>
    <w:basedOn w:val="a"/>
    <w:rsid w:val="00582F77"/>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3">
    <w:name w:val="font13"/>
    <w:basedOn w:val="a"/>
    <w:rsid w:val="00582F77"/>
    <w:pPr>
      <w:widowControl/>
      <w:spacing w:before="100" w:beforeAutospacing="1" w:after="100" w:afterAutospacing="1"/>
      <w:jc w:val="left"/>
    </w:pPr>
    <w:rPr>
      <w:rFonts w:ascii="Times New Roman" w:eastAsia="宋体" w:hAnsi="Times New Roman" w:cs="Times New Roman"/>
      <w:b/>
      <w:bCs/>
      <w:color w:val="000000"/>
      <w:kern w:val="0"/>
      <w:sz w:val="18"/>
      <w:szCs w:val="18"/>
    </w:rPr>
  </w:style>
  <w:style w:type="paragraph" w:customStyle="1" w:styleId="font14">
    <w:name w:val="font14"/>
    <w:basedOn w:val="a"/>
    <w:rsid w:val="00582F77"/>
    <w:pPr>
      <w:widowControl/>
      <w:spacing w:before="100" w:beforeAutospacing="1" w:after="100" w:afterAutospacing="1"/>
      <w:jc w:val="left"/>
    </w:pPr>
    <w:rPr>
      <w:rFonts w:ascii="Times New Roman" w:eastAsia="宋体" w:hAnsi="Times New Roman" w:cs="Times New Roman"/>
      <w:b/>
      <w:bCs/>
      <w:color w:val="000000"/>
      <w:kern w:val="0"/>
      <w:sz w:val="14"/>
      <w:szCs w:val="14"/>
    </w:rPr>
  </w:style>
  <w:style w:type="paragraph" w:customStyle="1" w:styleId="font15">
    <w:name w:val="font15"/>
    <w:basedOn w:val="a"/>
    <w:rsid w:val="00582F77"/>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6">
    <w:name w:val="font16"/>
    <w:basedOn w:val="a"/>
    <w:rsid w:val="00582F77"/>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7">
    <w:name w:val="font17"/>
    <w:basedOn w:val="a"/>
    <w:rsid w:val="00582F77"/>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8">
    <w:name w:val="font18"/>
    <w:basedOn w:val="a"/>
    <w:rsid w:val="00582F77"/>
    <w:pPr>
      <w:widowControl/>
      <w:spacing w:before="100" w:beforeAutospacing="1" w:after="100" w:afterAutospacing="1"/>
      <w:jc w:val="left"/>
    </w:pPr>
    <w:rPr>
      <w:rFonts w:ascii="Times New Roman" w:eastAsia="宋体" w:hAnsi="Times New Roman" w:cs="Times New Roman"/>
      <w:color w:val="000000"/>
      <w:kern w:val="0"/>
      <w:sz w:val="14"/>
      <w:szCs w:val="14"/>
    </w:rPr>
  </w:style>
  <w:style w:type="paragraph" w:customStyle="1" w:styleId="font19">
    <w:name w:val="font19"/>
    <w:basedOn w:val="a"/>
    <w:rsid w:val="00582F7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20">
    <w:name w:val="font20"/>
    <w:basedOn w:val="a"/>
    <w:rsid w:val="00582F77"/>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65">
    <w:name w:val="xl65"/>
    <w:basedOn w:val="a"/>
    <w:rsid w:val="00582F77"/>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7">
    <w:name w:val="xl67"/>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69">
    <w:name w:val="xl69"/>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1">
    <w:name w:val="xl71"/>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xl72">
    <w:name w:val="xl72"/>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3">
    <w:name w:val="xl73"/>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b/>
      <w:bCs/>
      <w:kern w:val="0"/>
      <w:sz w:val="18"/>
      <w:szCs w:val="18"/>
    </w:rPr>
  </w:style>
  <w:style w:type="paragraph" w:customStyle="1" w:styleId="xl75">
    <w:name w:val="xl75"/>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6">
    <w:name w:val="xl76"/>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7">
    <w:name w:val="xl77"/>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18"/>
      <w:szCs w:val="18"/>
    </w:rPr>
  </w:style>
  <w:style w:type="paragraph" w:customStyle="1" w:styleId="xl78">
    <w:name w:val="xl78"/>
    <w:basedOn w:val="a"/>
    <w:rsid w:val="00582F7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582F7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0">
    <w:name w:val="xl80"/>
    <w:basedOn w:val="a"/>
    <w:rsid w:val="00582F7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81">
    <w:name w:val="xl81"/>
    <w:basedOn w:val="a"/>
    <w:rsid w:val="00582F77"/>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Cs w:val="21"/>
    </w:rPr>
  </w:style>
  <w:style w:type="paragraph" w:customStyle="1" w:styleId="xl82">
    <w:name w:val="xl82"/>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83">
    <w:name w:val="xl83"/>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84">
    <w:name w:val="xl84"/>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
    <w:rsid w:val="00582F7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86">
    <w:name w:val="xl86"/>
    <w:basedOn w:val="a"/>
    <w:rsid w:val="00582F7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87">
    <w:name w:val="xl87"/>
    <w:basedOn w:val="a"/>
    <w:rsid w:val="00582F77"/>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88">
    <w:name w:val="xl88"/>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89">
    <w:name w:val="xl89"/>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Cs w:val="21"/>
    </w:rPr>
  </w:style>
  <w:style w:type="paragraph" w:customStyle="1" w:styleId="xl90">
    <w:name w:val="xl90"/>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Cs w:val="21"/>
    </w:rPr>
  </w:style>
  <w:style w:type="paragraph" w:customStyle="1" w:styleId="xl91">
    <w:name w:val="xl91"/>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Cs w:val="21"/>
    </w:rPr>
  </w:style>
  <w:style w:type="paragraph" w:customStyle="1" w:styleId="xl92">
    <w:name w:val="xl92"/>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rPr>
  </w:style>
  <w:style w:type="paragraph" w:customStyle="1" w:styleId="xl93">
    <w:name w:val="xl93"/>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5">
    <w:name w:val="xl95"/>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96">
    <w:name w:val="xl96"/>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宋体" w:hAnsi="Arial" w:cs="Arial"/>
      <w:b/>
      <w:bCs/>
      <w:kern w:val="0"/>
      <w:szCs w:val="21"/>
    </w:rPr>
  </w:style>
  <w:style w:type="paragraph" w:customStyle="1" w:styleId="xl97">
    <w:name w:val="xl97"/>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98">
    <w:name w:val="xl98"/>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Cs w:val="21"/>
    </w:rPr>
  </w:style>
  <w:style w:type="paragraph" w:customStyle="1" w:styleId="xl99">
    <w:name w:val="xl99"/>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100">
    <w:name w:val="xl100"/>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1">
    <w:name w:val="xl101"/>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Cs w:val="21"/>
    </w:rPr>
  </w:style>
  <w:style w:type="paragraph" w:customStyle="1" w:styleId="xl102">
    <w:name w:val="xl102"/>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103">
    <w:name w:val="xl103"/>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4">
    <w:name w:val="xl104"/>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5">
    <w:name w:val="xl105"/>
    <w:basedOn w:val="a"/>
    <w:rsid w:val="00582F77"/>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106">
    <w:name w:val="xl106"/>
    <w:basedOn w:val="a"/>
    <w:rsid w:val="00582F77"/>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107">
    <w:name w:val="xl107"/>
    <w:basedOn w:val="a"/>
    <w:rsid w:val="00582F77"/>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108">
    <w:name w:val="xl108"/>
    <w:basedOn w:val="a"/>
    <w:rsid w:val="00582F77"/>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109">
    <w:name w:val="xl109"/>
    <w:basedOn w:val="a"/>
    <w:rsid w:val="00582F7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110">
    <w:name w:val="xl110"/>
    <w:basedOn w:val="a"/>
    <w:rsid w:val="00582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111">
    <w:name w:val="xl111"/>
    <w:basedOn w:val="a"/>
    <w:rsid w:val="00582F7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12">
    <w:name w:val="xl112"/>
    <w:basedOn w:val="a"/>
    <w:rsid w:val="00582F7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styleId="a5">
    <w:name w:val="header"/>
    <w:basedOn w:val="a"/>
    <w:link w:val="a6"/>
    <w:uiPriority w:val="99"/>
    <w:unhideWhenUsed/>
    <w:rsid w:val="00C3319E"/>
    <w:pPr>
      <w:tabs>
        <w:tab w:val="center" w:pos="4153"/>
        <w:tab w:val="right" w:pos="8306"/>
      </w:tabs>
      <w:snapToGrid w:val="0"/>
      <w:jc w:val="center"/>
    </w:pPr>
    <w:rPr>
      <w:sz w:val="18"/>
      <w:szCs w:val="18"/>
    </w:rPr>
  </w:style>
  <w:style w:type="character" w:customStyle="1" w:styleId="a6">
    <w:name w:val="页眉 字符"/>
    <w:basedOn w:val="a0"/>
    <w:link w:val="a5"/>
    <w:uiPriority w:val="99"/>
    <w:rsid w:val="00C3319E"/>
    <w:rPr>
      <w:sz w:val="18"/>
      <w:szCs w:val="18"/>
    </w:rPr>
  </w:style>
  <w:style w:type="paragraph" w:styleId="a7">
    <w:name w:val="footer"/>
    <w:basedOn w:val="a"/>
    <w:link w:val="a8"/>
    <w:uiPriority w:val="99"/>
    <w:unhideWhenUsed/>
    <w:rsid w:val="00C3319E"/>
    <w:pPr>
      <w:tabs>
        <w:tab w:val="center" w:pos="4153"/>
        <w:tab w:val="right" w:pos="8306"/>
      </w:tabs>
      <w:snapToGrid w:val="0"/>
      <w:jc w:val="left"/>
    </w:pPr>
    <w:rPr>
      <w:sz w:val="18"/>
      <w:szCs w:val="18"/>
    </w:rPr>
  </w:style>
  <w:style w:type="character" w:customStyle="1" w:styleId="a8">
    <w:name w:val="页脚 字符"/>
    <w:basedOn w:val="a0"/>
    <w:link w:val="a7"/>
    <w:uiPriority w:val="99"/>
    <w:rsid w:val="00C33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1652">
      <w:bodyDiv w:val="1"/>
      <w:marLeft w:val="0"/>
      <w:marRight w:val="0"/>
      <w:marTop w:val="0"/>
      <w:marBottom w:val="0"/>
      <w:divBdr>
        <w:top w:val="none" w:sz="0" w:space="0" w:color="auto"/>
        <w:left w:val="none" w:sz="0" w:space="0" w:color="auto"/>
        <w:bottom w:val="none" w:sz="0" w:space="0" w:color="auto"/>
        <w:right w:val="none" w:sz="0" w:space="0" w:color="auto"/>
      </w:divBdr>
    </w:div>
    <w:div w:id="1069692156">
      <w:bodyDiv w:val="1"/>
      <w:marLeft w:val="0"/>
      <w:marRight w:val="0"/>
      <w:marTop w:val="0"/>
      <w:marBottom w:val="0"/>
      <w:divBdr>
        <w:top w:val="none" w:sz="0" w:space="0" w:color="auto"/>
        <w:left w:val="none" w:sz="0" w:space="0" w:color="auto"/>
        <w:bottom w:val="none" w:sz="0" w:space="0" w:color="auto"/>
        <w:right w:val="none" w:sz="0" w:space="0" w:color="auto"/>
      </w:divBdr>
    </w:div>
    <w:div w:id="1401101492">
      <w:bodyDiv w:val="1"/>
      <w:marLeft w:val="0"/>
      <w:marRight w:val="0"/>
      <w:marTop w:val="0"/>
      <w:marBottom w:val="0"/>
      <w:divBdr>
        <w:top w:val="none" w:sz="0" w:space="0" w:color="auto"/>
        <w:left w:val="none" w:sz="0" w:space="0" w:color="auto"/>
        <w:bottom w:val="none" w:sz="0" w:space="0" w:color="auto"/>
        <w:right w:val="none" w:sz="0" w:space="0" w:color="auto"/>
      </w:divBdr>
    </w:div>
    <w:div w:id="21096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495</Words>
  <Characters>2824</Characters>
  <Application>Microsoft Office Word</Application>
  <DocSecurity>0</DocSecurity>
  <Lines>23</Lines>
  <Paragraphs>6</Paragraphs>
  <ScaleCrop>false</ScaleCrop>
  <Company>P R C</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司蕾</cp:lastModifiedBy>
  <cp:revision>34</cp:revision>
  <dcterms:created xsi:type="dcterms:W3CDTF">2023-06-07T08:25:00Z</dcterms:created>
  <dcterms:modified xsi:type="dcterms:W3CDTF">2023-06-08T01:28:00Z</dcterms:modified>
</cp:coreProperties>
</file>